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word/charts/chart1.xml" ContentType="application/vnd.openxmlformats-officedocument.drawingml.chart+xml"/>
  <Override PartName="/word/charts/_rels/chart1.xml.rels" ContentType="application/vnd.openxmlformats-package.relationships+xml"/>
  <Override PartName="/word/embeddings/______Microsoft_Excel.xlsx" ContentType="application/vnd.openxmlformats-officedocument.spreadsheetml.sheet"/>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 xml:space="preserve">                                                                                  </w:t>
      </w:r>
    </w:p>
    <w:p>
      <w:pPr>
        <w:pStyle w:val="Title"/>
        <w:tabs>
          <w:tab w:val="clear" w:pos="720"/>
          <w:tab w:val="left" w:pos="-39" w:leader="none"/>
        </w:tabs>
        <w:jc w:val="left"/>
        <w:rPr>
          <w:b/>
          <w:color w:val="000000"/>
        </w:rPr>
      </w:pPr>
      <w:r>
        <w:rPr>
          <w:b/>
          <w:color w:val="000000"/>
        </w:rPr>
      </w:r>
    </w:p>
    <w:p>
      <w:pPr>
        <w:pStyle w:val="Title"/>
        <w:tabs>
          <w:tab w:val="clear" w:pos="720"/>
          <w:tab w:val="left" w:pos="-39" w:leader="none"/>
        </w:tabs>
        <w:rPr>
          <w:color w:val="000000"/>
        </w:rPr>
      </w:pPr>
      <w:r>
        <w:rPr>
          <w:b/>
          <w:color w:val="000000"/>
        </w:rPr>
        <w:t>Інформація про виконання  бюджету Нікопольської міської територіальної громади за січень-листопад 2025 року</w:t>
      </w:r>
    </w:p>
    <w:p>
      <w:pPr>
        <w:pStyle w:val="Title"/>
        <w:tabs>
          <w:tab w:val="clear" w:pos="720"/>
          <w:tab w:val="left" w:pos="-39" w:leader="none"/>
        </w:tabs>
        <w:rPr>
          <w:b/>
          <w:color w:val="000000"/>
        </w:rPr>
      </w:pPr>
      <w:r>
        <w:rPr>
          <w:b/>
          <w:color w:val="000000"/>
        </w:rPr>
      </w:r>
    </w:p>
    <w:p>
      <w:pPr>
        <w:pStyle w:val="Normal"/>
        <w:ind w:firstLine="708"/>
        <w:jc w:val="both"/>
        <w:rPr>
          <w:color w:val="000000"/>
        </w:rPr>
      </w:pPr>
      <w:r>
        <w:rPr>
          <w:color w:val="000000"/>
          <w:sz w:val="28"/>
          <w:szCs w:val="28"/>
          <w:lang w:val="uk-UA"/>
        </w:rPr>
        <w:t xml:space="preserve">За січень-листопад 2025 року </w:t>
      </w:r>
      <w:r>
        <w:rPr>
          <w:color w:val="000000"/>
          <w:sz w:val="28"/>
          <w:szCs w:val="28"/>
        </w:rPr>
        <w:t>до загального фонду бюджету міста  надійшло власних доходів у сумі</w:t>
      </w:r>
      <w:r>
        <w:rPr>
          <w:color w:val="000000"/>
          <w:sz w:val="28"/>
          <w:szCs w:val="28"/>
          <w:lang w:val="uk-UA"/>
        </w:rPr>
        <w:t xml:space="preserve"> 759255,0 </w:t>
      </w:r>
      <w:r>
        <w:rPr>
          <w:color w:val="000000"/>
          <w:sz w:val="28"/>
          <w:szCs w:val="28"/>
        </w:rPr>
        <w:t xml:space="preserve">тис.грн. або </w:t>
      </w:r>
      <w:r>
        <w:rPr>
          <w:color w:val="000000"/>
          <w:sz w:val="28"/>
          <w:szCs w:val="28"/>
          <w:lang w:val="uk-UA"/>
        </w:rPr>
        <w:t>100,8%</w:t>
      </w:r>
      <w:r>
        <w:rPr>
          <w:color w:val="000000"/>
          <w:sz w:val="28"/>
          <w:szCs w:val="28"/>
        </w:rPr>
        <w:t xml:space="preserve"> </w:t>
      </w:r>
      <w:r>
        <w:rPr>
          <w:color w:val="000000"/>
          <w:sz w:val="28"/>
          <w:szCs w:val="28"/>
          <w:lang w:val="uk-UA"/>
        </w:rPr>
        <w:t xml:space="preserve">уточненого </w:t>
      </w:r>
      <w:r>
        <w:rPr>
          <w:color w:val="000000"/>
          <w:sz w:val="28"/>
          <w:szCs w:val="28"/>
        </w:rPr>
        <w:t>план</w:t>
      </w:r>
      <w:r>
        <w:rPr>
          <w:color w:val="000000"/>
          <w:sz w:val="28"/>
          <w:szCs w:val="28"/>
          <w:lang w:val="uk-UA"/>
        </w:rPr>
        <w:t>у на звітний період</w:t>
      </w:r>
      <w:r>
        <w:rPr>
          <w:color w:val="000000"/>
          <w:sz w:val="28"/>
          <w:szCs w:val="28"/>
        </w:rPr>
        <w:t>.</w:t>
      </w:r>
      <w:r>
        <w:rPr>
          <w:color w:val="000000"/>
          <w:sz w:val="28"/>
          <w:szCs w:val="28"/>
          <w:lang w:val="uk-UA"/>
        </w:rPr>
        <w:t xml:space="preserve"> Обсяг перевиконання складає 6,1 млн.грн.</w:t>
      </w:r>
    </w:p>
    <w:p>
      <w:pPr>
        <w:pStyle w:val="Normal"/>
        <w:ind w:firstLine="360"/>
        <w:jc w:val="both"/>
        <w:rPr>
          <w:color w:val="000000"/>
        </w:rPr>
      </w:pPr>
      <w:r>
        <w:rPr>
          <w:color w:val="000000"/>
          <w:sz w:val="28"/>
          <w:szCs w:val="28"/>
          <w:lang w:val="uk-UA"/>
        </w:rPr>
        <w:t xml:space="preserve">     </w:t>
      </w:r>
      <w:r>
        <w:rPr>
          <w:color w:val="000000"/>
          <w:sz w:val="28"/>
          <w:szCs w:val="28"/>
          <w:lang w:val="uk-UA"/>
        </w:rPr>
        <w:t>У порівнянні з аналогічним періодом 2024 року надходження доходів зросли на 45331,3 тис.грн. або на 6,3%. Найбільше збільшення спостерігається по таких основних джерелах доходів, як  податок на доходи фізичних осіб – на 42370,9 тис.грн. або на 8,7%, акцизний податок – на 2705,3 тис.грн. або на 6,2% та єдиний податок – на  8417,3 тис.грн. або на 7,9%.</w:t>
      </w:r>
    </w:p>
    <w:p>
      <w:pPr>
        <w:pStyle w:val="Normal"/>
        <w:ind w:firstLine="360"/>
        <w:jc w:val="both"/>
        <w:rPr>
          <w:color w:val="000000"/>
        </w:rPr>
      </w:pPr>
      <w:r>
        <w:rPr>
          <w:color w:val="000000"/>
          <w:sz w:val="28"/>
          <w:szCs w:val="28"/>
          <w:lang w:val="uk-UA"/>
        </w:rPr>
        <w:t>До спеціального фонду надійшло доходів у сумі 17066,2 тис.грн., планові показники перевиконано на 16339,5 тис.грн.. У порівнянні з минулим роком надходження зменшилися на 48640,7 тис.грн. або  у 3,8 разів  внаслідок скорочення обсягів благодійної допомоги для закладів бюджетної сфери.</w:t>
      </w:r>
    </w:p>
    <w:p>
      <w:pPr>
        <w:pStyle w:val="Normal"/>
        <w:ind w:firstLine="360"/>
        <w:jc w:val="both"/>
        <w:rPr>
          <w:color w:val="000000"/>
          <w:sz w:val="28"/>
          <w:szCs w:val="28"/>
          <w:lang w:val="uk-UA"/>
        </w:rPr>
      </w:pPr>
      <w:r>
        <w:rPr>
          <w:color w:val="000000"/>
          <w:sz w:val="28"/>
          <w:szCs w:val="28"/>
          <w:lang w:val="uk-UA"/>
        </w:rPr>
      </w:r>
    </w:p>
    <w:p>
      <w:pPr>
        <w:pStyle w:val="Normal"/>
        <w:jc w:val="center"/>
        <w:rPr>
          <w:color w:val="000000"/>
        </w:rPr>
      </w:pPr>
      <w:r>
        <w:rPr>
          <w:b/>
          <w:color w:val="000000"/>
          <w:sz w:val="28"/>
          <w:szCs w:val="28"/>
        </w:rPr>
        <w:t xml:space="preserve">Порівняльний аналіз надходжень основних джерел доходів </w:t>
      </w:r>
    </w:p>
    <w:p>
      <w:pPr>
        <w:pStyle w:val="Normal"/>
        <w:jc w:val="center"/>
        <w:rPr>
          <w:color w:val="000000"/>
        </w:rPr>
      </w:pPr>
      <w:r>
        <w:rPr>
          <w:b/>
          <w:color w:val="000000"/>
          <w:sz w:val="28"/>
          <w:szCs w:val="28"/>
          <w:lang w:val="uk-UA"/>
        </w:rPr>
        <w:t>за січень-листопад 2024-2025 років</w:t>
      </w:r>
    </w:p>
    <w:p>
      <w:pPr>
        <w:pStyle w:val="Normal"/>
        <w:jc w:val="center"/>
        <w:rPr>
          <w:b/>
          <w:color w:val="000000"/>
          <w:sz w:val="28"/>
          <w:szCs w:val="28"/>
          <w:lang w:val="uk-UA"/>
        </w:rPr>
      </w:pPr>
      <w:r>
        <w:rPr>
          <w:b/>
          <w:color w:val="000000"/>
          <w:sz w:val="28"/>
          <w:szCs w:val="28"/>
          <w:lang w:val="uk-UA"/>
        </w:rPr>
      </w:r>
    </w:p>
    <w:p>
      <w:pPr>
        <w:pStyle w:val="Normal"/>
        <w:jc w:val="center"/>
        <w:rPr>
          <w:b/>
          <w:color w:val="000000"/>
          <w:sz w:val="28"/>
          <w:szCs w:val="28"/>
          <w:lang w:val="uk-UA"/>
        </w:rPr>
      </w:pPr>
      <w:r>
        <w:rPr>
          <w:b/>
          <w:color w:val="000000"/>
          <w:sz w:val="28"/>
          <w:szCs w:val="28"/>
          <w:lang w:val="uk-UA"/>
        </w:rPr>
        <w:drawing>
          <wp:anchor behindDoc="0" distT="0" distB="0" distL="0" distR="0" simplePos="0" locked="0" layoutInCell="1" allowOverlap="1" relativeHeight="2">
            <wp:simplePos x="0" y="0"/>
            <wp:positionH relativeFrom="column">
              <wp:posOffset>-94615</wp:posOffset>
            </wp:positionH>
            <wp:positionV relativeFrom="paragraph">
              <wp:posOffset>9525</wp:posOffset>
            </wp:positionV>
            <wp:extent cx="6766560" cy="4648200"/>
            <wp:effectExtent l="0" t="0" r="0" b="0"/>
            <wp:wrapNone/>
            <wp:docPr id="1" name="Объект 28" descr="Букет"/>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r>
    </w:p>
    <w:p>
      <w:pPr>
        <w:pStyle w:val="Normal"/>
        <w:jc w:val="center"/>
        <w:rPr>
          <w:b/>
          <w:color w:val="000000"/>
          <w:sz w:val="28"/>
          <w:szCs w:val="28"/>
          <w:lang w:val="uk-UA"/>
        </w:rPr>
      </w:pPr>
      <w:r>
        <w:rPr>
          <w:b/>
          <w:color w:val="000000"/>
          <w:sz w:val="28"/>
          <w:szCs w:val="28"/>
          <w:lang w:val="uk-UA"/>
        </w:rPr>
      </w:r>
    </w:p>
    <w:p>
      <w:pPr>
        <w:pStyle w:val="Normal"/>
        <w:jc w:val="center"/>
        <w:rPr>
          <w:b/>
          <w:color w:val="000000"/>
          <w:sz w:val="28"/>
          <w:szCs w:val="28"/>
          <w:lang w:val="uk-UA"/>
        </w:rPr>
      </w:pPr>
      <w:r>
        <w:rPr>
          <w:b/>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rmal"/>
        <w:rPr>
          <w:color w:val="000000"/>
          <w:sz w:val="28"/>
          <w:szCs w:val="28"/>
          <w:lang w:val="uk-UA"/>
        </w:rPr>
      </w:pPr>
      <w:r>
        <w:rPr>
          <w:color w:val="000000"/>
          <w:sz w:val="28"/>
          <w:szCs w:val="28"/>
          <w:lang w:val="uk-UA"/>
        </w:rPr>
      </w:r>
    </w:p>
    <w:p>
      <w:pPr>
        <w:pStyle w:val="NoSpacing"/>
        <w:spacing w:lineRule="auto" w:line="240"/>
        <w:ind w:firstLine="993"/>
        <w:jc w:val="both"/>
        <w:rPr>
          <w:color w:val="000000"/>
        </w:rPr>
      </w:pPr>
      <w:r>
        <w:rPr>
          <w:rFonts w:ascii="Times New Roman" w:hAnsi="Times New Roman"/>
          <w:color w:val="000000"/>
          <w:sz w:val="28"/>
          <w:szCs w:val="28"/>
        </w:rPr>
        <w:t xml:space="preserve">За січень-листопад 2025 року видатки загального фонду бюджету громади з урахуванням субвенцій з інших рівнів бюджетів склали </w:t>
      </w:r>
      <w:r>
        <w:rPr>
          <w:rFonts w:ascii="Times New Roman" w:hAnsi="Times New Roman"/>
          <w:color w:val="000000"/>
          <w:kern w:val="2"/>
          <w:sz w:val="28"/>
          <w:szCs w:val="28"/>
        </w:rPr>
        <w:t>962 509,0 тис.грн., що становить 83,7% до річного плану та</w:t>
      </w:r>
      <w:r>
        <w:rPr>
          <w:rFonts w:ascii="Times New Roman" w:hAnsi="Times New Roman"/>
          <w:color w:val="000000"/>
          <w:sz w:val="28"/>
          <w:szCs w:val="28"/>
        </w:rPr>
        <w:t xml:space="preserve"> 88,6% до плану на звітний період. Із загального обсягу видатків 195 297,6 тис.грн. або 20,3% забезпечено коштами міжбюджетних трансфертів (субвенцій з державного та місцевих бюджетів). Власні видатки загального фонду складають 767 211,4 тис.грн. або 79,7%. </w:t>
      </w:r>
    </w:p>
    <w:p>
      <w:pPr>
        <w:pStyle w:val="NoSpacing"/>
        <w:spacing w:lineRule="auto" w:line="240"/>
        <w:ind w:firstLine="993"/>
        <w:jc w:val="both"/>
        <w:rPr>
          <w:color w:val="000000"/>
        </w:rPr>
      </w:pPr>
      <w:r>
        <w:rPr>
          <w:rFonts w:ascii="Times New Roman" w:hAnsi="Times New Roman"/>
          <w:color w:val="000000"/>
          <w:sz w:val="28"/>
          <w:szCs w:val="28"/>
        </w:rPr>
        <w:t xml:space="preserve">Із загального обсягу видатків  458 556,4 тис.грн. або 47,6% - оплата праці та нарахування на заробітну плату працівників бюджетних установ, 13 544,1 тис.грн. (1,4%) – оплата енергоносіїв бюджетних установ, 50 357,7 тис.грн. або 5,2% – фінансова підтримка комунальних підприємств охорони здоров’я, 32 250,6 тис.грн. або 3,4% – матеріальна допомога громадянам міста, 21 575,8 тис.грн. (2,2%) – компенсаційні виплати за пільговий проїзд містян відповідних категорій, 256 049,6 тис.грн. або 26,6% - видатки у сфері житлово-комунального господарства, 15 823,5 тис.грн. або 1,6% - утримання міських доріг, 61 991,1 тис.грн. (6,4%) – усунення наслідків ворожих обстрілів. На виконання міських програм підтримки діяльності силових структур міста, районної військової адміністрації, заходів мобілізаційної роботи та територіальної оборони, інші заходи громадського порядку за звітний період використано 12 747,3 тис.грн. (1,3%). Обсяг фінансової підтримки комунальних підприємств у галузі спорту (ДЮСШ «Електрометалург» та КП «Спорт для всіх») на здійснення поточних видатків склав 5 927,6 тис.грн., комунальної аптеки – 1 639,0 тис.грн., муніципальної варти – 2 938,1 тис.грн. Видатки резервного фонду склали 6 857,4 тис.грн. </w:t>
      </w:r>
    </w:p>
    <w:p>
      <w:pPr>
        <w:pStyle w:val="NoSpacing"/>
        <w:spacing w:lineRule="auto" w:line="240"/>
        <w:ind w:firstLine="993"/>
        <w:jc w:val="both"/>
        <w:rPr>
          <w:color w:val="000000"/>
        </w:rPr>
      </w:pPr>
      <w:r>
        <w:rPr>
          <w:rFonts w:ascii="Times New Roman" w:hAnsi="Times New Roman"/>
          <w:color w:val="000000"/>
          <w:sz w:val="28"/>
          <w:szCs w:val="28"/>
        </w:rPr>
        <w:t>У складі видатків закладів бюджетної сфери на ремонт та облаштування укриттів, а також відновлення пошкоджених внаслідок обстрілів об’єктів спрямовано 4 818,9 тис.грн., створення умов для реабілітації громадян  (надання медичних послуг) – 5 073,4 тис.грн. Решту видатків загального фонду становлять господарські витрати бюджетних установ, заходи з підготовки до опалювального  сезону тощо.</w:t>
      </w:r>
    </w:p>
    <w:p>
      <w:pPr>
        <w:pStyle w:val="NoSpacing"/>
        <w:spacing w:lineRule="auto" w:line="240"/>
        <w:ind w:firstLine="851"/>
        <w:jc w:val="both"/>
        <w:rPr>
          <w:color w:val="000000"/>
        </w:rPr>
      </w:pPr>
      <w:r>
        <w:rPr>
          <w:rFonts w:ascii="Times New Roman" w:hAnsi="Times New Roman"/>
          <w:color w:val="000000"/>
          <w:sz w:val="28"/>
          <w:szCs w:val="28"/>
        </w:rPr>
        <w:t>Видатки спеціального фонду склали 80 386,1 тис.грн., з них коштами бюджету  розвитку – 63 980,8  тис.грн.:</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shd w:fill="FFFFFF" w:val="clear"/>
        </w:rPr>
        <w:t>1 970,5 тис.грн. - виготовлення ПКД та проведення капремонту системи пожежної сигналізації загальноосвітніх закладів;</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shd w:fill="FFFFFF" w:val="clear"/>
        </w:rPr>
        <w:t>99,6 тис.грн. – поповнення бібліотечного фонду загальноосвітніх закладів;</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shd w:fill="FFFFFF" w:val="clear"/>
        </w:rPr>
        <w:t>1 813,1 тис.грн. - вишукувальні роботи для будівництва споруд цивільного захисту в ліцеях № 14, 25, 26;</w:t>
      </w:r>
    </w:p>
    <w:p>
      <w:pPr>
        <w:pStyle w:val="NoSpacing"/>
        <w:numPr>
          <w:ilvl w:val="0"/>
          <w:numId w:val="1"/>
        </w:numPr>
        <w:spacing w:lineRule="auto" w:line="240"/>
        <w:jc w:val="both"/>
        <w:rPr>
          <w:color w:val="000000"/>
        </w:rPr>
      </w:pPr>
      <w:r>
        <w:rPr>
          <w:rFonts w:ascii="Times New Roman" w:hAnsi="Times New Roman"/>
          <w:color w:val="000000"/>
          <w:sz w:val="28"/>
          <w:szCs w:val="28"/>
        </w:rPr>
        <w:t>6 220,9 тис.грн. - капремонт та встановлення ліфтів у лікарні №4;</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2 826,2 тис.грн. – придбання медичного обладнання для реабілітаційного відділення лікарні №4 та засобів індивідуального захисту для роботи з ангіографом;</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300,0 тис.грн. – придбання потужних кондиціонерів для місця встановлення ангіосистеми лікарні №4;</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128,0 тис.грн. – придбання стабілізаторів напруги для відділень лікарні №4;</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1 751,7 тис.грн. – медичне обладнання для дитячої стоматології;</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859,2 тис.грн. – придбання медичного обладнання для надання послуг зубопротезування військовим та ветеранам (стоматполіклініка);</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80,0 тис.грн. – холодильне обладнання для дитячої лікарні коштами трансфертів з м. Калош;</w:t>
      </w:r>
    </w:p>
    <w:p>
      <w:pPr>
        <w:pStyle w:val="NoSpacing"/>
        <w:numPr>
          <w:ilvl w:val="0"/>
          <w:numId w:val="1"/>
        </w:numPr>
        <w:spacing w:lineRule="auto" w:line="240"/>
        <w:jc w:val="both"/>
        <w:rPr>
          <w:color w:val="000000"/>
        </w:rPr>
      </w:pPr>
      <w:r>
        <w:rPr>
          <w:rFonts w:ascii="Times New Roman" w:hAnsi="Times New Roman"/>
          <w:color w:val="000000"/>
          <w:sz w:val="28"/>
          <w:szCs w:val="28"/>
        </w:rPr>
        <w:t>100,0 тис.грн. – придбання датчику для апарату УЗД дитячої міської лікарні;</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1 691,6 тис.грн. – придбання та встановлення кондиціонерів в амбулаторії ЦПМСД на вул. Херсонській, 56;</w:t>
      </w:r>
    </w:p>
    <w:p>
      <w:pPr>
        <w:pStyle w:val="NoSpacing"/>
        <w:numPr>
          <w:ilvl w:val="0"/>
          <w:numId w:val="1"/>
        </w:numPr>
        <w:spacing w:lineRule="auto" w:line="240"/>
        <w:jc w:val="both"/>
        <w:rPr>
          <w:color w:val="000000"/>
        </w:rPr>
      </w:pPr>
      <w:r>
        <w:rPr>
          <w:rFonts w:ascii="Times New Roman" w:hAnsi="Times New Roman"/>
          <w:color w:val="000000"/>
          <w:sz w:val="28"/>
          <w:szCs w:val="28"/>
          <w:shd w:fill="FFFFFF" w:val="clear"/>
        </w:rPr>
        <w:t>48,7 тис.грн. - поповнення бібліотечного фонду;</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1 102,0 тис.грн. – придбання пам’ятників полеглим Захисникам міста;</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shd w:fill="FFFFFF" w:val="clear"/>
        </w:rPr>
        <w:t>17 315,0 тис.грн. - реконструкція місць почесних поховань загиблих (померлих) Захисників України;</w:t>
      </w:r>
    </w:p>
    <w:p>
      <w:pPr>
        <w:pStyle w:val="NoSpacing"/>
        <w:numPr>
          <w:ilvl w:val="0"/>
          <w:numId w:val="1"/>
        </w:numPr>
        <w:spacing w:lineRule="auto" w:line="240"/>
        <w:jc w:val="both"/>
        <w:rPr>
          <w:color w:val="000000"/>
        </w:rPr>
      </w:pPr>
      <w:r>
        <w:rPr>
          <w:rFonts w:ascii="Times New Roman" w:hAnsi="Times New Roman"/>
          <w:color w:val="000000"/>
          <w:sz w:val="28"/>
          <w:szCs w:val="28"/>
          <w:shd w:fill="FFFFFF" w:val="clear"/>
        </w:rPr>
        <w:t>1 576,4 тис.грн. – виконання програми розробки  містобудівної документації;</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shd w:fill="FFFFFF" w:val="clear"/>
        </w:rPr>
        <w:t>7 453,0 тис.грн. – поповнення статутного капіталу суб’єктів господарювання;</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shd w:fill="FFFFFF" w:val="clear"/>
        </w:rPr>
        <w:t xml:space="preserve">15 294,9 тис.грн. - заходи мобілізації та територіальної оборони, </w:t>
      </w:r>
    </w:p>
    <w:p>
      <w:pPr>
        <w:pStyle w:val="NoSpacing"/>
        <w:numPr>
          <w:ilvl w:val="0"/>
          <w:numId w:val="1"/>
        </w:numPr>
        <w:spacing w:lineRule="auto" w:line="240"/>
        <w:ind w:firstLine="567" w:left="0"/>
        <w:jc w:val="both"/>
        <w:rPr>
          <w:color w:val="000000"/>
        </w:rPr>
      </w:pPr>
      <w:r>
        <w:rPr>
          <w:rFonts w:ascii="Times New Roman" w:hAnsi="Times New Roman"/>
          <w:color w:val="000000"/>
          <w:sz w:val="28"/>
          <w:szCs w:val="28"/>
        </w:rPr>
        <w:t>2 821,7 тис.грн. – підтримка діяльності силових структур та ін.</w:t>
      </w:r>
    </w:p>
    <w:p>
      <w:pPr>
        <w:pStyle w:val="NoSpacing"/>
        <w:spacing w:lineRule="auto" w:line="240"/>
        <w:ind w:firstLine="567"/>
        <w:jc w:val="both"/>
        <w:rPr>
          <w:color w:val="000000"/>
        </w:rPr>
      </w:pPr>
      <w:r>
        <w:rPr>
          <w:rFonts w:ascii="Times New Roman" w:hAnsi="Times New Roman"/>
          <w:color w:val="000000"/>
          <w:sz w:val="28"/>
          <w:szCs w:val="28"/>
        </w:rPr>
        <w:t>Коштами екологічного фонду придбані баки для збирання небезпечних відходів на суму 112,0 тис.грн.</w:t>
      </w:r>
    </w:p>
    <w:p>
      <w:pPr>
        <w:pStyle w:val="NoSpacing"/>
        <w:spacing w:lineRule="auto" w:line="240"/>
        <w:ind w:firstLine="851"/>
        <w:jc w:val="both"/>
        <w:rPr>
          <w:color w:val="000000"/>
        </w:rPr>
      </w:pPr>
      <w:r>
        <w:rPr>
          <w:rFonts w:ascii="Times New Roman" w:hAnsi="Times New Roman"/>
          <w:color w:val="000000"/>
          <w:sz w:val="28"/>
          <w:szCs w:val="28"/>
        </w:rPr>
        <w:t xml:space="preserve">За рахунок власних надходжень бюджетних установ </w:t>
      </w:r>
      <w:r>
        <w:rPr>
          <w:rFonts w:ascii="Times New Roman" w:hAnsi="Times New Roman"/>
          <w:color w:val="000000"/>
          <w:sz w:val="28"/>
          <w:szCs w:val="28"/>
          <w:shd w:fill="FFFFFF" w:val="clear"/>
        </w:rPr>
        <w:t xml:space="preserve">за надані послуги </w:t>
      </w:r>
      <w:r>
        <w:rPr>
          <w:rFonts w:ascii="Times New Roman" w:hAnsi="Times New Roman"/>
          <w:color w:val="000000"/>
          <w:sz w:val="28"/>
          <w:szCs w:val="28"/>
        </w:rPr>
        <w:t xml:space="preserve">згідно функціональних повноважень використано 270,2 тис.грн., від </w:t>
      </w:r>
      <w:r>
        <w:rPr>
          <w:rFonts w:ascii="Times New Roman" w:hAnsi="Times New Roman"/>
          <w:color w:val="000000"/>
          <w:sz w:val="28"/>
          <w:szCs w:val="28"/>
        </w:rPr>
        <w:t>благодійних внесків, оприбуткування негрошових надходжень – 16 023,2</w:t>
      </w:r>
      <w:bookmarkStart w:id="0" w:name="_GoBack"/>
      <w:bookmarkEnd w:id="0"/>
      <w:r>
        <w:rPr>
          <w:rFonts w:ascii="Times New Roman" w:hAnsi="Times New Roman"/>
          <w:color w:val="000000"/>
          <w:sz w:val="28"/>
          <w:szCs w:val="28"/>
        </w:rPr>
        <w:t xml:space="preserve"> тис.грн.</w:t>
      </w:r>
    </w:p>
    <w:p>
      <w:pPr>
        <w:pStyle w:val="NoSpacing"/>
        <w:spacing w:lineRule="auto" w:line="240"/>
        <w:ind w:firstLine="851"/>
        <w:jc w:val="both"/>
        <w:rPr>
          <w:color w:val="000000"/>
        </w:rPr>
      </w:pPr>
      <w:r>
        <w:rPr>
          <w:rFonts w:ascii="Times New Roman" w:hAnsi="Times New Roman"/>
          <w:color w:val="000000"/>
          <w:sz w:val="28"/>
          <w:szCs w:val="28"/>
        </w:rPr>
        <w:t xml:space="preserve">Всі заходи міських цільових програм забезпечені фінансовим ресурсом у повному обсязі. </w:t>
      </w:r>
    </w:p>
    <w:p>
      <w:pPr>
        <w:pStyle w:val="NoSpacing"/>
        <w:ind w:firstLine="993"/>
        <w:jc w:val="both"/>
        <w:rPr>
          <w:color w:val="000000"/>
        </w:rPr>
      </w:pPr>
      <w:r>
        <w:rPr>
          <w:color w:val="000000"/>
          <w:sz w:val="28"/>
          <w:szCs w:val="28"/>
        </w:rPr>
        <w:tab/>
      </w:r>
      <w:r>
        <w:rPr>
          <w:rFonts w:ascii="Times New Roman" w:hAnsi="Times New Roman"/>
          <w:color w:val="000000"/>
          <w:sz w:val="28"/>
          <w:szCs w:val="28"/>
        </w:rPr>
        <w:t xml:space="preserve"> </w:t>
      </w:r>
    </w:p>
    <w:p>
      <w:pPr>
        <w:pStyle w:val="Normal"/>
        <w:tabs>
          <w:tab w:val="clear" w:pos="720"/>
          <w:tab w:val="left" w:pos="990" w:leader="none"/>
        </w:tabs>
        <w:rPr>
          <w:color w:val="000000"/>
          <w:sz w:val="28"/>
          <w:szCs w:val="28"/>
          <w:lang w:val="uk-UA"/>
        </w:rPr>
      </w:pPr>
      <w:r>
        <w:rPr>
          <w:color w:val="000000"/>
          <w:sz w:val="28"/>
          <w:szCs w:val="28"/>
          <w:lang w:val="uk-UA"/>
        </w:rPr>
      </w:r>
    </w:p>
    <w:sectPr>
      <w:type w:val="nextPage"/>
      <w:pgSz w:w="11906" w:h="16838"/>
      <w:pgMar w:left="851" w:right="567" w:gutter="0" w:header="0" w:top="284"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Tahoma">
    <w:charset w:val="cc"/>
    <w:family w:val="swiss"/>
    <w:pitch w:val="variable"/>
  </w:font>
  <w:font w:name="Liberation Sans">
    <w:altName w:val="Arial"/>
    <w:charset w:val="cc"/>
    <w:family w:val="swiss"/>
    <w:pitch w:val="variable"/>
  </w:font>
  <w:font w:name="Verdana">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f0818"/>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9"/>
    <w:qFormat/>
    <w:rsid w:val="002f0818"/>
    <w:pPr>
      <w:keepNext w:val="true"/>
      <w:jc w:val="both"/>
      <w:outlineLvl w:val="0"/>
    </w:pPr>
    <w:rPr>
      <w:sz w:val="28"/>
      <w:lang w:val="uk-UA"/>
    </w:rPr>
  </w:style>
  <w:style w:type="paragraph" w:styleId="Heading2">
    <w:name w:val="heading 2"/>
    <w:basedOn w:val="Normal"/>
    <w:next w:val="Normal"/>
    <w:link w:val="2"/>
    <w:uiPriority w:val="99"/>
    <w:qFormat/>
    <w:rsid w:val="002f0818"/>
    <w:pPr>
      <w:keepNext w:val="true"/>
      <w:outlineLvl w:val="1"/>
    </w:pPr>
    <w:rPr>
      <w:rFonts w:ascii="Arial" w:hAnsi="Arial"/>
      <w:b/>
      <w:color w:val="000000"/>
    </w:rPr>
  </w:style>
  <w:style w:type="paragraph" w:styleId="Heading3">
    <w:name w:val="heading 3"/>
    <w:basedOn w:val="Normal"/>
    <w:next w:val="Normal"/>
    <w:link w:val="3"/>
    <w:uiPriority w:val="99"/>
    <w:qFormat/>
    <w:rsid w:val="002f0818"/>
    <w:pPr>
      <w:keepNext w:val="true"/>
      <w:jc w:val="center"/>
      <w:outlineLvl w:val="2"/>
    </w:pPr>
    <w:rPr>
      <w:b/>
      <w:sz w:val="28"/>
      <w:lang w:val="uk-UA"/>
    </w:rPr>
  </w:style>
  <w:style w:type="paragraph" w:styleId="Heading4">
    <w:name w:val="heading 4"/>
    <w:basedOn w:val="Normal"/>
    <w:next w:val="Normal"/>
    <w:link w:val="4"/>
    <w:uiPriority w:val="99"/>
    <w:qFormat/>
    <w:rsid w:val="002f0818"/>
    <w:pPr>
      <w:keepNext w:val="true"/>
      <w:jc w:val="center"/>
      <w:outlineLvl w:val="3"/>
    </w:pPr>
    <w:rPr>
      <w:b/>
      <w:bCs/>
      <w:i/>
      <w:iCs/>
      <w:sz w:val="28"/>
      <w:lang w:val="uk-U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274af4"/>
    <w:rPr>
      <w:rFonts w:ascii="Cambria" w:hAnsi="Cambria" w:eastAsia="Times New Roman" w:cs="Times New Roman"/>
      <w:b/>
      <w:bCs/>
      <w:kern w:val="2"/>
      <w:sz w:val="32"/>
      <w:szCs w:val="32"/>
      <w:lang w:val="ru-RU" w:eastAsia="ru-RU"/>
    </w:rPr>
  </w:style>
  <w:style w:type="character" w:styleId="2" w:customStyle="1">
    <w:name w:val="Заголовок 2 Знак"/>
    <w:basedOn w:val="DefaultParagraphFont"/>
    <w:uiPriority w:val="9"/>
    <w:semiHidden/>
    <w:qFormat/>
    <w:rsid w:val="00274af4"/>
    <w:rPr>
      <w:rFonts w:ascii="Cambria" w:hAnsi="Cambria" w:eastAsia="Times New Roman" w:cs="Times New Roman"/>
      <w:b/>
      <w:bCs/>
      <w:i/>
      <w:iCs/>
      <w:sz w:val="28"/>
      <w:szCs w:val="28"/>
      <w:lang w:val="ru-RU" w:eastAsia="ru-RU"/>
    </w:rPr>
  </w:style>
  <w:style w:type="character" w:styleId="3" w:customStyle="1">
    <w:name w:val="Заголовок 3 Знак"/>
    <w:basedOn w:val="DefaultParagraphFont"/>
    <w:uiPriority w:val="9"/>
    <w:semiHidden/>
    <w:qFormat/>
    <w:rsid w:val="00274af4"/>
    <w:rPr>
      <w:rFonts w:ascii="Cambria" w:hAnsi="Cambria" w:eastAsia="Times New Roman" w:cs="Times New Roman"/>
      <w:b/>
      <w:bCs/>
      <w:sz w:val="26"/>
      <w:szCs w:val="26"/>
      <w:lang w:val="ru-RU" w:eastAsia="ru-RU"/>
    </w:rPr>
  </w:style>
  <w:style w:type="character" w:styleId="4" w:customStyle="1">
    <w:name w:val="Заголовок 4 Знак"/>
    <w:basedOn w:val="DefaultParagraphFont"/>
    <w:uiPriority w:val="9"/>
    <w:semiHidden/>
    <w:qFormat/>
    <w:rsid w:val="00274af4"/>
    <w:rPr>
      <w:rFonts w:ascii="Calibri" w:hAnsi="Calibri" w:eastAsia="Times New Roman" w:cs="Times New Roman"/>
      <w:b/>
      <w:bCs/>
      <w:sz w:val="28"/>
      <w:szCs w:val="28"/>
      <w:lang w:val="ru-RU" w:eastAsia="ru-RU"/>
    </w:rPr>
  </w:style>
  <w:style w:type="character" w:styleId="Style10" w:customStyle="1">
    <w:name w:val="Основной текст Знак"/>
    <w:basedOn w:val="DefaultParagraphFont"/>
    <w:uiPriority w:val="99"/>
    <w:qFormat/>
    <w:locked/>
    <w:rsid w:val="0072294a"/>
    <w:rPr>
      <w:rFonts w:cs="Times New Roman"/>
      <w:sz w:val="28"/>
      <w:lang w:val="uk-UA"/>
    </w:rPr>
  </w:style>
  <w:style w:type="character" w:styleId="Style11" w:customStyle="1">
    <w:name w:val="Основной текст с отступом Знак"/>
    <w:basedOn w:val="DefaultParagraphFont"/>
    <w:uiPriority w:val="99"/>
    <w:semiHidden/>
    <w:qFormat/>
    <w:rsid w:val="00274af4"/>
    <w:rPr>
      <w:sz w:val="20"/>
      <w:szCs w:val="20"/>
      <w:lang w:val="ru-RU" w:eastAsia="ru-RU"/>
    </w:rPr>
  </w:style>
  <w:style w:type="character" w:styleId="21" w:customStyle="1">
    <w:name w:val="Основной текст с отступом 2 Знак"/>
    <w:basedOn w:val="DefaultParagraphFont"/>
    <w:link w:val="BodyTextIndent2"/>
    <w:uiPriority w:val="99"/>
    <w:semiHidden/>
    <w:qFormat/>
    <w:rsid w:val="00274af4"/>
    <w:rPr>
      <w:sz w:val="20"/>
      <w:szCs w:val="20"/>
      <w:lang w:val="ru-RU" w:eastAsia="ru-RU"/>
    </w:rPr>
  </w:style>
  <w:style w:type="character" w:styleId="22" w:customStyle="1">
    <w:name w:val="Основной текст 2 Знак"/>
    <w:basedOn w:val="DefaultParagraphFont"/>
    <w:link w:val="BodyText2"/>
    <w:uiPriority w:val="99"/>
    <w:semiHidden/>
    <w:qFormat/>
    <w:rsid w:val="00274af4"/>
    <w:rPr>
      <w:sz w:val="20"/>
      <w:szCs w:val="20"/>
      <w:lang w:val="ru-RU" w:eastAsia="ru-RU"/>
    </w:rPr>
  </w:style>
  <w:style w:type="character" w:styleId="31" w:customStyle="1">
    <w:name w:val="Основной текст с отступом 3 Знак"/>
    <w:basedOn w:val="DefaultParagraphFont"/>
    <w:link w:val="BodyTextIndent3"/>
    <w:uiPriority w:val="99"/>
    <w:qFormat/>
    <w:locked/>
    <w:rsid w:val="007d061f"/>
    <w:rPr>
      <w:rFonts w:cs="Times New Roman"/>
      <w:sz w:val="28"/>
    </w:rPr>
  </w:style>
  <w:style w:type="character" w:styleId="Style12" w:customStyle="1">
    <w:name w:val="Заголовок Знак"/>
    <w:basedOn w:val="DefaultParagraphFont"/>
    <w:uiPriority w:val="10"/>
    <w:qFormat/>
    <w:rsid w:val="00274af4"/>
    <w:rPr>
      <w:rFonts w:ascii="Cambria" w:hAnsi="Cambria" w:eastAsia="Times New Roman" w:cs="Times New Roman"/>
      <w:b/>
      <w:bCs/>
      <w:kern w:val="2"/>
      <w:sz w:val="32"/>
      <w:szCs w:val="32"/>
      <w:lang w:val="ru-RU" w:eastAsia="ru-RU"/>
    </w:rPr>
  </w:style>
  <w:style w:type="character" w:styleId="Style13" w:customStyle="1">
    <w:name w:val="Текст выноски Знак"/>
    <w:basedOn w:val="DefaultParagraphFont"/>
    <w:link w:val="BalloonText"/>
    <w:uiPriority w:val="99"/>
    <w:semiHidden/>
    <w:qFormat/>
    <w:rsid w:val="00b434f9"/>
    <w:rPr>
      <w:rFonts w:ascii="Tahoma" w:hAnsi="Tahoma" w:cs="Tahoma"/>
      <w:sz w:val="16"/>
      <w:szCs w:val="16"/>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0"/>
    <w:uiPriority w:val="99"/>
    <w:rsid w:val="002f0818"/>
    <w:pPr>
      <w:jc w:val="both"/>
    </w:pPr>
    <w:rPr>
      <w:sz w:val="28"/>
      <w:lang w:val="uk-U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BodyTextIndent">
    <w:name w:val="Body Text Indent"/>
    <w:basedOn w:val="Normal"/>
    <w:link w:val="Style11"/>
    <w:uiPriority w:val="99"/>
    <w:rsid w:val="002f0818"/>
    <w:pPr>
      <w:ind w:firstLine="540"/>
    </w:pPr>
    <w:rPr>
      <w:sz w:val="28"/>
      <w:lang w:val="uk-UA"/>
    </w:rPr>
  </w:style>
  <w:style w:type="paragraph" w:styleId="BodyTextIndent2">
    <w:name w:val="Body Text Indent 2"/>
    <w:basedOn w:val="Normal"/>
    <w:link w:val="21"/>
    <w:uiPriority w:val="99"/>
    <w:qFormat/>
    <w:rsid w:val="002f0818"/>
    <w:pPr>
      <w:ind w:firstLine="851"/>
      <w:jc w:val="both"/>
    </w:pPr>
    <w:rPr>
      <w:sz w:val="28"/>
      <w:lang w:val="uk-UA"/>
    </w:rPr>
  </w:style>
  <w:style w:type="paragraph" w:styleId="BodyText2">
    <w:name w:val="Body Text 2"/>
    <w:basedOn w:val="Normal"/>
    <w:link w:val="22"/>
    <w:uiPriority w:val="99"/>
    <w:qFormat/>
    <w:rsid w:val="002f0818"/>
    <w:pPr>
      <w:jc w:val="both"/>
    </w:pPr>
    <w:rPr>
      <w:sz w:val="28"/>
      <w:szCs w:val="24"/>
      <w:lang w:val="uk-UA"/>
    </w:rPr>
  </w:style>
  <w:style w:type="paragraph" w:styleId="BodyTextIndent3">
    <w:name w:val="Body Text Indent 3"/>
    <w:basedOn w:val="Normal"/>
    <w:link w:val="31"/>
    <w:uiPriority w:val="99"/>
    <w:qFormat/>
    <w:rsid w:val="002f0818"/>
    <w:pPr>
      <w:ind w:firstLine="708"/>
      <w:jc w:val="both"/>
    </w:pPr>
    <w:rPr>
      <w:sz w:val="28"/>
    </w:rPr>
  </w:style>
  <w:style w:type="paragraph" w:styleId="Title">
    <w:name w:val="Title"/>
    <w:basedOn w:val="Normal"/>
    <w:link w:val="Style12"/>
    <w:uiPriority w:val="99"/>
    <w:qFormat/>
    <w:rsid w:val="009b4f45"/>
    <w:pPr>
      <w:jc w:val="center"/>
    </w:pPr>
    <w:rPr>
      <w:sz w:val="32"/>
      <w:szCs w:val="24"/>
      <w:lang w:val="uk-UA"/>
    </w:rPr>
  </w:style>
  <w:style w:type="paragraph" w:styleId="Style16" w:customStyle="1">
    <w:name w:val="Знак Знак Знак Знак"/>
    <w:basedOn w:val="Normal"/>
    <w:uiPriority w:val="99"/>
    <w:qFormat/>
    <w:rsid w:val="00925269"/>
    <w:pPr/>
    <w:rPr>
      <w:rFonts w:ascii="Verdana" w:hAnsi="Verdana" w:cs="Verdana"/>
      <w:lang w:val="en-US" w:eastAsia="en-US"/>
    </w:rPr>
  </w:style>
  <w:style w:type="paragraph" w:styleId="Style17" w:customStyle="1">
    <w:name w:val="Знак"/>
    <w:basedOn w:val="Normal"/>
    <w:uiPriority w:val="99"/>
    <w:qFormat/>
    <w:rsid w:val="00b70b21"/>
    <w:pPr/>
    <w:rPr>
      <w:rFonts w:ascii="Verdana" w:hAnsi="Verdana" w:cs="Verdana"/>
      <w:lang w:val="en-US" w:eastAsia="en-US"/>
    </w:rPr>
  </w:style>
  <w:style w:type="paragraph" w:styleId="211" w:customStyle="1">
    <w:name w:val="Основной текст с отступом 21"/>
    <w:basedOn w:val="Normal"/>
    <w:uiPriority w:val="99"/>
    <w:qFormat/>
    <w:rsid w:val="007d061f"/>
    <w:pPr>
      <w:suppressAutoHyphens w:val="true"/>
      <w:ind w:firstLine="720"/>
    </w:pPr>
    <w:rPr>
      <w:sz w:val="24"/>
      <w:szCs w:val="24"/>
      <w:lang w:val="uk-UA" w:eastAsia="zh-CN"/>
    </w:rPr>
  </w:style>
  <w:style w:type="paragraph" w:styleId="BalloonText">
    <w:name w:val="Balloon Text"/>
    <w:basedOn w:val="Normal"/>
    <w:link w:val="Style13"/>
    <w:uiPriority w:val="99"/>
    <w:semiHidden/>
    <w:unhideWhenUsed/>
    <w:qFormat/>
    <w:rsid w:val="00b434f9"/>
    <w:pPr/>
    <w:rPr>
      <w:rFonts w:ascii="Tahoma" w:hAnsi="Tahoma" w:cs="Tahoma"/>
      <w:sz w:val="16"/>
      <w:szCs w:val="16"/>
    </w:rPr>
  </w:style>
  <w:style w:type="paragraph" w:styleId="NoSpacing">
    <w:name w:val="No Spacing"/>
    <w:uiPriority w:val="1"/>
    <w:qFormat/>
    <w:rsid w:val="0034005a"/>
    <w:pPr>
      <w:widowControl/>
      <w:bidi w:val="0"/>
      <w:spacing w:before="0" w:after="0"/>
      <w:jc w:val="left"/>
    </w:pPr>
    <w:rPr>
      <w:rFonts w:ascii="Calibri" w:hAnsi="Calibri" w:eastAsia="Times New Roman" w:cs="Times New Roman"/>
      <w:color w:val="auto"/>
      <w:kern w:val="0"/>
      <w:sz w:val="22"/>
      <w:szCs w:val="22"/>
      <w:lang w:val="uk-UA" w:eastAsia="uk-UA" w:bidi="ar-SA"/>
    </w:rPr>
  </w:style>
  <w:style w:type="numbering" w:styleId="Style18"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99"/>
    <w:rsid w:val="009b4f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______Microsoft_Excel.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view3D>
      <c:rotX val="13"/>
      <c:rotY val="44"/>
      <c:rAngAx val="1"/>
      <c:perspective val="30"/>
    </c:view3D>
    <c:floor>
      <c:spPr>
        <a:noFill/>
        <a:ln w="9360">
          <a:solidFill>
            <a:srgbClr val="878787"/>
          </a:solidFill>
          <a:round/>
        </a:ln>
      </c:spPr>
    </c:floor>
    <c:sideWall>
      <c:spPr>
        <a:solidFill>
          <a:srgbClr val="fcd5b5"/>
        </a:solidFill>
        <a:ln w="9360">
          <a:solidFill>
            <a:srgbClr val="878787"/>
          </a:solidFill>
          <a:round/>
        </a:ln>
      </c:spPr>
    </c:sideWall>
    <c:backWall>
      <c:spPr>
        <a:solidFill>
          <a:srgbClr val="fcd5b5"/>
        </a:solidFill>
        <a:ln w="9360">
          <a:solidFill>
            <a:srgbClr val="878787"/>
          </a:solidFill>
          <a:round/>
        </a:ln>
      </c:spPr>
    </c:backWall>
    <c:plotArea>
      <c:layout>
        <c:manualLayout>
          <c:layoutTarget val="inner"/>
          <c:xMode val="edge"/>
          <c:yMode val="edge"/>
          <c:x val="0.09475"/>
          <c:y val="0.0175555555555556"/>
          <c:w val="0.8979375"/>
          <c:h val="0.724555555555556"/>
        </c:manualLayout>
      </c:layout>
      <c:bar3DChart>
        <c:barDir val="col"/>
        <c:grouping val="clustered"/>
        <c:varyColors val="0"/>
        <c:ser>
          <c:idx val="0"/>
          <c:order val="0"/>
          <c:tx>
            <c:strRef>
              <c:f>label 0</c:f>
              <c:strCache>
                <c:ptCount val="1"/>
                <c:pt idx="0">
                  <c:v>2024</c:v>
                </c:pt>
              </c:strCache>
            </c:strRef>
          </c:tx>
          <c:spPr>
            <a:solidFill>
              <a:srgbClr val="ab4744"/>
            </a:solidFill>
            <a:ln w="0">
              <a:noFill/>
            </a:ln>
          </c:spPr>
          <c:invertIfNegative val="0"/>
          <c:dPt>
            <c:idx val="0"/>
            <c:invertIfNegative val="0"/>
            <c:spPr>
              <a:solidFill>
                <a:srgbClr val="ab4744"/>
              </a:solidFill>
              <a:ln w="0">
                <a:noFill/>
              </a:ln>
            </c:spPr>
          </c:dPt>
          <c:dPt>
            <c:idx val="1"/>
            <c:invertIfNegative val="0"/>
            <c:spPr>
              <a:solidFill>
                <a:srgbClr val="ab4744"/>
              </a:solidFill>
              <a:ln w="0">
                <a:noFill/>
              </a:ln>
            </c:spPr>
          </c:dPt>
          <c:dPt>
            <c:idx val="2"/>
            <c:invertIfNegative val="0"/>
            <c:spPr>
              <a:solidFill>
                <a:srgbClr val="ab4744"/>
              </a:solidFill>
              <a:ln w="0">
                <a:noFill/>
              </a:ln>
            </c:spPr>
          </c:dPt>
          <c:dPt>
            <c:idx val="3"/>
            <c:invertIfNegative val="0"/>
            <c:spPr>
              <a:solidFill>
                <a:srgbClr val="ab4744"/>
              </a:solidFill>
              <a:ln w="0">
                <a:noFill/>
              </a:ln>
            </c:spPr>
          </c:dPt>
          <c:dLbls>
            <c:numFmt formatCode="0.0" sourceLinked="0"/>
            <c:dLbl>
              <c:idx val="0"/>
              <c:layout>
                <c:manualLayout>
                  <c:x val="0.0176796293466873"/>
                  <c:y val="-0.0316927964218377"/>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dLbl>
              <c:idx val="1"/>
              <c:layout>
                <c:manualLayout>
                  <c:x val="-0.0120243254895734"/>
                  <c:y val="-0.0122863153341787"/>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dLbl>
              <c:idx val="2"/>
              <c:layout>
                <c:manualLayout>
                  <c:x val="0.00679646312222516"/>
                  <c:y val="-0.0125029601562962"/>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dLbl>
              <c:idx val="3"/>
              <c:layout>
                <c:manualLayout>
                  <c:x val="-0.00983667672516082"/>
                  <c:y val="-0.0105282649327925"/>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податок на доходи фізичних осіб</c:v>
                </c:pt>
                <c:pt idx="1">
                  <c:v>податок на майно</c:v>
                </c:pt>
                <c:pt idx="2">
                  <c:v>единий податок</c:v>
                </c:pt>
                <c:pt idx="3">
                  <c:v>ВСЬОГО</c:v>
                </c:pt>
              </c:strCache>
            </c:strRef>
          </c:cat>
          <c:val>
            <c:numRef>
              <c:f>0</c:f>
              <c:numCache>
                <c:formatCode>General</c:formatCode>
                <c:ptCount val="4"/>
                <c:pt idx="0">
                  <c:v>489429.9</c:v>
                </c:pt>
                <c:pt idx="1">
                  <c:v>47661.1</c:v>
                </c:pt>
                <c:pt idx="2">
                  <c:v>107026.4</c:v>
                </c:pt>
                <c:pt idx="3">
                  <c:v>713923.7</c:v>
                </c:pt>
              </c:numCache>
            </c:numRef>
          </c:val>
        </c:ser>
        <c:ser>
          <c:idx val="1"/>
          <c:order val="1"/>
          <c:tx>
            <c:strRef>
              <c:f>label 1</c:f>
              <c:strCache>
                <c:ptCount val="1"/>
                <c:pt idx="0">
                  <c:v>2025</c:v>
                </c:pt>
              </c:strCache>
            </c:strRef>
          </c:tx>
          <c:spPr>
            <a:solidFill>
              <a:srgbClr val="d09493"/>
            </a:solidFill>
            <a:ln w="0">
              <a:noFill/>
            </a:ln>
          </c:spPr>
          <c:invertIfNegative val="0"/>
          <c:dPt>
            <c:idx val="0"/>
            <c:invertIfNegative val="0"/>
            <c:spPr>
              <a:solidFill>
                <a:srgbClr val="d09493"/>
              </a:solidFill>
              <a:ln w="0">
                <a:noFill/>
              </a:ln>
            </c:spPr>
          </c:dPt>
          <c:dPt>
            <c:idx val="1"/>
            <c:invertIfNegative val="0"/>
            <c:spPr>
              <a:solidFill>
                <a:srgbClr val="d09493"/>
              </a:solidFill>
              <a:ln w="0">
                <a:noFill/>
              </a:ln>
            </c:spPr>
          </c:dPt>
          <c:dPt>
            <c:idx val="2"/>
            <c:invertIfNegative val="0"/>
            <c:spPr>
              <a:solidFill>
                <a:srgbClr val="d09493"/>
              </a:solidFill>
              <a:ln w="0">
                <a:noFill/>
              </a:ln>
            </c:spPr>
          </c:dPt>
          <c:dPt>
            <c:idx val="3"/>
            <c:invertIfNegative val="0"/>
            <c:spPr>
              <a:solidFill>
                <a:srgbClr val="d09493"/>
              </a:solidFill>
              <a:ln w="0">
                <a:noFill/>
              </a:ln>
            </c:spPr>
          </c:dPt>
          <c:dLbls>
            <c:numFmt formatCode="0.0" sourceLinked="0"/>
            <c:dLbl>
              <c:idx val="0"/>
              <c:layout>
                <c:manualLayout>
                  <c:x val="0.0844303457000317"/>
                  <c:y val="-0.00396038857211817"/>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dLbl>
              <c:idx val="1"/>
              <c:layout>
                <c:manualLayout>
                  <c:x val="0.0601639533234025"/>
                  <c:y val="-0.0178728467131264"/>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dLbl>
              <c:idx val="2"/>
              <c:layout>
                <c:manualLayout>
                  <c:x val="0.0679915643990449"/>
                  <c:y val="-0.0192144085437596"/>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dLbl>
              <c:idx val="3"/>
              <c:layout>
                <c:manualLayout>
                  <c:x val="0.0734073147951101"/>
                  <c:y val="0"/>
                </c:manualLayout>
              </c:layout>
              <c:numFmt formatCode="0.0" sourceLinked="0"/>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dLbl>
            <c:txPr>
              <a:bodyPr wrap="square"/>
              <a:lstStyle/>
              <a:p>
                <a:pPr>
                  <a:defRPr b="1" i="1" sz="1200" strike="noStrike" u="none">
                    <a:solidFill>
                      <a:srgbClr val="000000"/>
                    </a:solidFill>
                    <a:uFillTx/>
                    <a:latin typeface="Calibri"/>
                  </a:defRPr>
                </a:pPr>
              </a:p>
            </c:txP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податок на доходи фізичних осіб</c:v>
                </c:pt>
                <c:pt idx="1">
                  <c:v>податок на майно</c:v>
                </c:pt>
                <c:pt idx="2">
                  <c:v>единий податок</c:v>
                </c:pt>
                <c:pt idx="3">
                  <c:v>ВСЬОГО</c:v>
                </c:pt>
              </c:strCache>
            </c:strRef>
          </c:cat>
          <c:val>
            <c:numRef>
              <c:f>1</c:f>
              <c:numCache>
                <c:formatCode>General</c:formatCode>
                <c:ptCount val="4"/>
                <c:pt idx="0">
                  <c:v>531800.9</c:v>
                </c:pt>
                <c:pt idx="1">
                  <c:v>45187.5</c:v>
                </c:pt>
                <c:pt idx="2">
                  <c:v>115443.7</c:v>
                </c:pt>
                <c:pt idx="3">
                  <c:v>759255</c:v>
                </c:pt>
              </c:numCache>
            </c:numRef>
          </c:val>
        </c:ser>
        <c:gapWidth val="150"/>
        <c:shape val="box"/>
        <c:axId val="22596186"/>
        <c:axId val="42013733"/>
        <c:axId val="0"/>
      </c:bar3DChart>
      <c:catAx>
        <c:axId val="22596186"/>
        <c:scaling>
          <c:orientation val="minMax"/>
        </c:scaling>
        <c:delete val="0"/>
        <c:axPos val="b"/>
        <c:numFmt formatCode="General" sourceLinked="0"/>
        <c:majorTickMark val="out"/>
        <c:minorTickMark val="none"/>
        <c:tickLblPos val="low"/>
        <c:spPr>
          <a:ln w="9360">
            <a:solidFill>
              <a:srgbClr val="878787"/>
            </a:solidFill>
            <a:round/>
          </a:ln>
        </c:spPr>
        <c:txPr>
          <a:bodyPr/>
          <a:lstStyle/>
          <a:p>
            <a:pPr>
              <a:defRPr b="1" sz="1200" strike="noStrike" u="none">
                <a:solidFill>
                  <a:srgbClr val="000000"/>
                </a:solidFill>
                <a:uFillTx/>
                <a:latin typeface="Calibri"/>
              </a:defRPr>
            </a:pPr>
          </a:p>
        </c:txPr>
        <c:crossAx val="42013733"/>
        <c:crosses val="autoZero"/>
        <c:auto val="1"/>
        <c:lblAlgn val="ctr"/>
        <c:lblOffset val="100"/>
        <c:noMultiLvlLbl val="0"/>
      </c:catAx>
      <c:valAx>
        <c:axId val="42013733"/>
        <c:scaling>
          <c:orientation val="minMax"/>
          <c:max val="800000"/>
          <c:min val="0"/>
        </c:scaling>
        <c:delete val="0"/>
        <c:axPos val="l"/>
        <c:majorGridlines>
          <c:spPr>
            <a:ln w="9360">
              <a:solidFill>
                <a:srgbClr val="878787"/>
              </a:solidFill>
              <a:round/>
            </a:ln>
          </c:spPr>
        </c:majorGridlines>
        <c:numFmt formatCode="0.0" sourceLinked="0"/>
        <c:majorTickMark val="out"/>
        <c:minorTickMark val="none"/>
        <c:tickLblPos val="nextTo"/>
        <c:spPr>
          <a:ln w="9360">
            <a:solidFill>
              <a:srgbClr val="878787"/>
            </a:solidFill>
            <a:round/>
          </a:ln>
        </c:spPr>
        <c:txPr>
          <a:bodyPr/>
          <a:lstStyle/>
          <a:p>
            <a:pPr>
              <a:defRPr b="1" sz="1000" strike="noStrike" u="none">
                <a:solidFill>
                  <a:srgbClr val="000000"/>
                </a:solidFill>
                <a:uFillTx/>
                <a:latin typeface="Calibri"/>
              </a:defRPr>
            </a:pPr>
          </a:p>
        </c:txPr>
        <c:crossAx val="22596186"/>
        <c:crosses val="autoZero"/>
        <c:crossBetween val="between"/>
      </c:valAx>
    </c:plotArea>
    <c:legend>
      <c:legendPos val="r"/>
      <c:layout>
        <c:manualLayout>
          <c:xMode val="edge"/>
          <c:yMode val="edge"/>
          <c:x val="0.15425"/>
          <c:y val="0.84"/>
          <c:w val="0.750046877929871"/>
          <c:h val="0.0952328036448494"/>
        </c:manualLayout>
      </c:layout>
      <c:overlay val="0"/>
      <c:spPr>
        <a:noFill/>
        <a:ln w="0">
          <a:noFill/>
        </a:ln>
      </c:spPr>
      <c:txPr>
        <a:bodyPr/>
        <a:lstStyle/>
        <a:p>
          <a:pPr>
            <a:defRPr b="1" i="1" sz="1600" strike="noStrike" u="none">
              <a:solidFill>
                <a:srgbClr val="000000"/>
              </a:solidFill>
              <a:uFillTx/>
              <a:latin typeface="Calibri"/>
            </a:defRPr>
          </a:pPr>
        </a:p>
      </c:txPr>
    </c:legend>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B16A6-4267-41F9-AF7A-71FE6CD5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Application>LibreOffice/25.8.3.2$Windows_X86_64 LibreOffice_project/8ca8d55c161d602844f5428fa4b58097424e324e</Application>
  <AppVersion>15.0000</AppVersion>
  <Pages>3</Pages>
  <Words>697</Words>
  <Characters>4541</Characters>
  <CharactersWithSpaces>5319</CharactersWithSpaces>
  <Paragraphs>34</Paragraphs>
  <Company>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2022-01-11T08:16:00Z</dcterms:created>
  <dc:creator>Default</dc:creator>
  <dc:description/>
  <dc:language>uk-UA</dc:language>
  <cp:lastModifiedBy/>
  <cp:lastPrinted>2021-05-07T06:08:00Z</cp:lastPrinted>
  <dcterms:modified xsi:type="dcterms:W3CDTF">2025-12-04T10:07:57Z</dcterms:modified>
  <cp:revision>81</cp:revision>
  <dc:subject/>
  <dc:title>Заступнику міського голови</dc:title>
</cp:coreProperties>
</file>

<file path=docProps/custom.xml><?xml version="1.0" encoding="utf-8"?>
<Properties xmlns="http://schemas.openxmlformats.org/officeDocument/2006/custom-properties" xmlns:vt="http://schemas.openxmlformats.org/officeDocument/2006/docPropsVTypes"/>
</file>